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shd w:val="clear" w:color="auto" w:fill="FFFFFF"/>
        <w:tblCellMar>
          <w:left w:w="0" w:type="dxa"/>
          <w:right w:w="0" w:type="dxa"/>
        </w:tblCellMar>
        <w:tblLook w:val="04A0"/>
      </w:tblPr>
      <w:tblGrid>
        <w:gridCol w:w="1274"/>
        <w:gridCol w:w="308"/>
        <w:gridCol w:w="323"/>
      </w:tblGrid>
      <w:tr w:rsidR="00AB7B37" w:rsidRPr="00AB7B37" w:rsidTr="00AB7B37">
        <w:trPr>
          <w:tblCellSpacing w:w="15" w:type="dxa"/>
        </w:trPr>
        <w:tc>
          <w:tcPr>
            <w:tcW w:w="5000" w:type="pct"/>
            <w:tcBorders>
              <w:bottom w:val="single" w:sz="6" w:space="0" w:color="000000"/>
            </w:tcBorders>
            <w:shd w:val="clear" w:color="auto" w:fill="FFFFFF"/>
            <w:vAlign w:val="center"/>
            <w:hideMark/>
          </w:tcPr>
          <w:p w:rsidR="00AB7B37" w:rsidRPr="00AB7B37" w:rsidRDefault="00AB7B37" w:rsidP="00AB7B37">
            <w:pPr>
              <w:spacing w:after="240" w:line="248" w:lineRule="atLeast"/>
              <w:rPr>
                <w:rFonts w:ascii="Times New Roman" w:eastAsia="Times New Roman" w:hAnsi="Times New Roman" w:cs="Times New Roman"/>
                <w:b/>
                <w:bCs/>
                <w:color w:val="FF6600"/>
                <w:sz w:val="25"/>
                <w:szCs w:val="25"/>
                <w:lang w:eastAsia="cs-CZ"/>
              </w:rPr>
            </w:pPr>
            <w:r w:rsidRPr="00AB7B37">
              <w:rPr>
                <w:rFonts w:ascii="Times New Roman" w:eastAsia="Times New Roman" w:hAnsi="Times New Roman" w:cs="Times New Roman"/>
                <w:b/>
                <w:bCs/>
                <w:color w:val="FF6600"/>
                <w:sz w:val="25"/>
                <w:szCs w:val="25"/>
                <w:lang w:eastAsia="cs-CZ"/>
              </w:rPr>
              <w:t>Účinky přístrojů</w:t>
            </w:r>
          </w:p>
        </w:tc>
        <w:tc>
          <w:tcPr>
            <w:tcW w:w="5000" w:type="pct"/>
            <w:shd w:val="clear" w:color="auto" w:fill="FFFFFF"/>
            <w:vAlign w:val="center"/>
            <w:hideMark/>
          </w:tcPr>
          <w:p w:rsidR="00AB7B37" w:rsidRPr="00AB7B37" w:rsidRDefault="00AB7B37" w:rsidP="00AB7B37">
            <w:pPr>
              <w:spacing w:after="0" w:line="240" w:lineRule="auto"/>
              <w:jc w:val="right"/>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00"/>
                <w:lang w:eastAsia="cs-CZ"/>
              </w:rPr>
              <w:drawing>
                <wp:inline distT="0" distB="0" distL="0" distR="0">
                  <wp:extent cx="157480" cy="157480"/>
                  <wp:effectExtent l="19050" t="0" r="0" b="0"/>
                  <wp:docPr id="1" name="obrázek 1" descr="Tisk">
                    <a:hlinkClick xmlns:a="http://schemas.openxmlformats.org/drawingml/2006/main" r:id="rId5" tgtFrame="&quot;_blank&quot;" tooltip="&quot;Tis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sk">
                            <a:hlinkClick r:id="rId5" tgtFrame="&quot;_blank&quot;" tooltip="&quot;Tisk&quot;"/>
                          </pic:cNvPr>
                          <pic:cNvPicPr>
                            <a:picLocks noChangeAspect="1" noChangeArrowheads="1"/>
                          </pic:cNvPicPr>
                        </pic:nvPicPr>
                        <pic:blipFill>
                          <a:blip r:embed="rId6"/>
                          <a:srcRect/>
                          <a:stretch>
                            <a:fillRect/>
                          </a:stretch>
                        </pic:blipFill>
                        <pic:spPr bwMode="auto">
                          <a:xfrm>
                            <a:off x="0" y="0"/>
                            <a:ext cx="157480" cy="157480"/>
                          </a:xfrm>
                          <a:prstGeom prst="rect">
                            <a:avLst/>
                          </a:prstGeom>
                          <a:noFill/>
                          <a:ln w="9525">
                            <a:noFill/>
                            <a:miter lim="800000"/>
                            <a:headEnd/>
                            <a:tailEnd/>
                          </a:ln>
                        </pic:spPr>
                      </pic:pic>
                    </a:graphicData>
                  </a:graphic>
                </wp:inline>
              </w:drawing>
            </w:r>
          </w:p>
        </w:tc>
        <w:tc>
          <w:tcPr>
            <w:tcW w:w="5000" w:type="pct"/>
            <w:shd w:val="clear" w:color="auto" w:fill="FFFFFF"/>
            <w:vAlign w:val="center"/>
            <w:hideMark/>
          </w:tcPr>
          <w:p w:rsidR="00AB7B37" w:rsidRPr="00AB7B37" w:rsidRDefault="00AB7B37" w:rsidP="00AB7B37">
            <w:pPr>
              <w:spacing w:after="0" w:line="240" w:lineRule="auto"/>
              <w:jc w:val="right"/>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00"/>
                <w:lang w:eastAsia="cs-CZ"/>
              </w:rPr>
              <w:drawing>
                <wp:inline distT="0" distB="0" distL="0" distR="0">
                  <wp:extent cx="157480" cy="157480"/>
                  <wp:effectExtent l="19050" t="0" r="0" b="0"/>
                  <wp:docPr id="2" name="obrázek 2" descr="E-mail">
                    <a:hlinkClick xmlns:a="http://schemas.openxmlformats.org/drawingml/2006/main" r:id="rId7" tgtFrame="&quot;_blank&quot;"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gtFrame="&quot;_blank&quot;" tooltip="&quot;E-mail&quot;"/>
                          </pic:cNvPr>
                          <pic:cNvPicPr>
                            <a:picLocks noChangeAspect="1" noChangeArrowheads="1"/>
                          </pic:cNvPicPr>
                        </pic:nvPicPr>
                        <pic:blipFill>
                          <a:blip r:embed="rId8"/>
                          <a:srcRect/>
                          <a:stretch>
                            <a:fillRect/>
                          </a:stretch>
                        </pic:blipFill>
                        <pic:spPr bwMode="auto">
                          <a:xfrm>
                            <a:off x="0" y="0"/>
                            <a:ext cx="157480" cy="157480"/>
                          </a:xfrm>
                          <a:prstGeom prst="rect">
                            <a:avLst/>
                          </a:prstGeom>
                          <a:noFill/>
                          <a:ln w="9525">
                            <a:noFill/>
                            <a:miter lim="800000"/>
                            <a:headEnd/>
                            <a:tailEnd/>
                          </a:ln>
                        </pic:spPr>
                      </pic:pic>
                    </a:graphicData>
                  </a:graphic>
                </wp:inline>
              </w:drawing>
            </w:r>
          </w:p>
        </w:tc>
      </w:tr>
    </w:tbl>
    <w:p w:rsidR="00AB7B37" w:rsidRPr="00AB7B37" w:rsidRDefault="00AB7B37" w:rsidP="00AB7B37">
      <w:pPr>
        <w:spacing w:after="0" w:line="232" w:lineRule="atLeast"/>
        <w:rPr>
          <w:rFonts w:ascii="Arial" w:eastAsia="Times New Roman" w:hAnsi="Arial" w:cs="Arial"/>
          <w:vanish/>
          <w:color w:val="000000"/>
          <w:sz w:val="19"/>
          <w:lang w:eastAsia="cs-CZ"/>
        </w:rPr>
      </w:pPr>
    </w:p>
    <w:tbl>
      <w:tblPr>
        <w:tblW w:w="0" w:type="auto"/>
        <w:tblCellSpacing w:w="15" w:type="dxa"/>
        <w:shd w:val="clear" w:color="auto" w:fill="FFFFFF"/>
        <w:tblCellMar>
          <w:left w:w="0" w:type="dxa"/>
          <w:right w:w="0" w:type="dxa"/>
        </w:tblCellMar>
        <w:tblLook w:val="04A0"/>
      </w:tblPr>
      <w:tblGrid>
        <w:gridCol w:w="9132"/>
      </w:tblGrid>
      <w:tr w:rsidR="00AB7B37" w:rsidRPr="00AB7B37" w:rsidTr="00AB7B37">
        <w:trPr>
          <w:tblCellSpacing w:w="15" w:type="dxa"/>
        </w:trPr>
        <w:tc>
          <w:tcPr>
            <w:tcW w:w="0" w:type="auto"/>
            <w:shd w:val="clear" w:color="auto" w:fill="FFFFFF"/>
            <w:hideMark/>
          </w:tcPr>
          <w:p w:rsidR="00AB7B37" w:rsidRPr="00AB7B37" w:rsidRDefault="00AB7B37" w:rsidP="00AB7B37">
            <w:pPr>
              <w:spacing w:before="120" w:after="120" w:line="240" w:lineRule="auto"/>
              <w:rPr>
                <w:rFonts w:ascii="Times New Roman" w:eastAsia="Times New Roman" w:hAnsi="Times New Roman" w:cs="Times New Roman"/>
                <w:sz w:val="24"/>
                <w:szCs w:val="24"/>
                <w:lang w:eastAsia="cs-CZ"/>
              </w:rPr>
            </w:pPr>
            <w:r w:rsidRPr="00AB7B37">
              <w:rPr>
                <w:rFonts w:ascii="Times New Roman" w:eastAsia="Times New Roman" w:hAnsi="Times New Roman" w:cs="Times New Roman"/>
                <w:sz w:val="24"/>
                <w:szCs w:val="24"/>
                <w:lang w:eastAsia="cs-CZ"/>
              </w:rPr>
              <w:t> </w:t>
            </w:r>
          </w:p>
          <w:p w:rsidR="00AB7B37" w:rsidRPr="00AB7B37" w:rsidRDefault="00AB7B37" w:rsidP="00AB7B37">
            <w:pPr>
              <w:spacing w:before="120" w:after="12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1416050" cy="4572000"/>
                  <wp:effectExtent l="19050" t="0" r="0" b="0"/>
                  <wp:docPr id="3" name="obrázek 3" descr="funk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nkce.jpg"/>
                          <pic:cNvPicPr>
                            <a:picLocks noChangeAspect="1" noChangeArrowheads="1"/>
                          </pic:cNvPicPr>
                        </pic:nvPicPr>
                        <pic:blipFill>
                          <a:blip r:embed="rId9"/>
                          <a:srcRect/>
                          <a:stretch>
                            <a:fillRect/>
                          </a:stretch>
                        </pic:blipFill>
                        <pic:spPr bwMode="auto">
                          <a:xfrm>
                            <a:off x="0" y="0"/>
                            <a:ext cx="1416050" cy="4572000"/>
                          </a:xfrm>
                          <a:prstGeom prst="rect">
                            <a:avLst/>
                          </a:prstGeom>
                          <a:noFill/>
                          <a:ln w="9525">
                            <a:noFill/>
                            <a:miter lim="800000"/>
                            <a:headEnd/>
                            <a:tailEnd/>
                          </a:ln>
                        </pic:spPr>
                      </pic:pic>
                    </a:graphicData>
                  </a:graphic>
                </wp:inline>
              </w:drawing>
            </w:r>
          </w:p>
          <w:p w:rsidR="00AB7B37" w:rsidRPr="00AB7B37" w:rsidRDefault="00AB7B37" w:rsidP="00AB7B37">
            <w:pPr>
              <w:spacing w:before="120" w:after="120" w:line="240" w:lineRule="auto"/>
              <w:rPr>
                <w:rFonts w:ascii="Times New Roman" w:eastAsia="Times New Roman" w:hAnsi="Times New Roman" w:cs="Times New Roman"/>
                <w:sz w:val="24"/>
                <w:szCs w:val="24"/>
                <w:lang w:eastAsia="cs-CZ"/>
              </w:rPr>
            </w:pPr>
            <w:r w:rsidRPr="00AB7B37">
              <w:rPr>
                <w:rFonts w:ascii="Times New Roman" w:eastAsia="Times New Roman" w:hAnsi="Times New Roman" w:cs="Times New Roman"/>
                <w:sz w:val="24"/>
                <w:szCs w:val="24"/>
                <w:lang w:eastAsia="cs-CZ"/>
              </w:rPr>
              <w:t xml:space="preserve">Použitím fototerapeutického přístroje </w:t>
            </w:r>
            <w:proofErr w:type="spellStart"/>
            <w:r w:rsidRPr="00AB7B37">
              <w:rPr>
                <w:rFonts w:ascii="Times New Roman" w:eastAsia="Times New Roman" w:hAnsi="Times New Roman" w:cs="Times New Roman"/>
                <w:sz w:val="24"/>
                <w:szCs w:val="24"/>
                <w:lang w:eastAsia="cs-CZ"/>
              </w:rPr>
              <w:t>Biobeam</w:t>
            </w:r>
            <w:proofErr w:type="spellEnd"/>
            <w:r w:rsidRPr="00AB7B37">
              <w:rPr>
                <w:rFonts w:ascii="Times New Roman" w:eastAsia="Times New Roman" w:hAnsi="Times New Roman" w:cs="Times New Roman"/>
                <w:sz w:val="24"/>
                <w:szCs w:val="24"/>
                <w:lang w:eastAsia="cs-CZ"/>
              </w:rPr>
              <w:t xml:space="preserve">™ dochází k procesům, které spouští a podněcují  řídící pochody ve tkáních na buněčné úrovni. Specificky působí na molekulární uspořádání buněčných membrán, posiluje buněčný metabolismus a významně tak urychluje regenerační a hojivé procesy v těchto </w:t>
            </w:r>
            <w:proofErr w:type="spellStart"/>
            <w:r w:rsidRPr="00AB7B37">
              <w:rPr>
                <w:rFonts w:ascii="Times New Roman" w:eastAsia="Times New Roman" w:hAnsi="Times New Roman" w:cs="Times New Roman"/>
                <w:sz w:val="24"/>
                <w:szCs w:val="24"/>
                <w:lang w:eastAsia="cs-CZ"/>
              </w:rPr>
              <w:t>buńkách</w:t>
            </w:r>
            <w:proofErr w:type="spellEnd"/>
            <w:r w:rsidRPr="00AB7B37">
              <w:rPr>
                <w:rFonts w:ascii="Times New Roman" w:eastAsia="Times New Roman" w:hAnsi="Times New Roman" w:cs="Times New Roman"/>
                <w:sz w:val="24"/>
                <w:szCs w:val="24"/>
                <w:lang w:eastAsia="cs-CZ"/>
              </w:rPr>
              <w:t>.</w:t>
            </w:r>
          </w:p>
          <w:p w:rsidR="00AB7B37" w:rsidRPr="00AB7B37" w:rsidRDefault="00AB7B37" w:rsidP="00AB7B37">
            <w:pPr>
              <w:spacing w:before="120" w:after="120" w:line="240" w:lineRule="auto"/>
              <w:rPr>
                <w:rFonts w:ascii="Times New Roman" w:eastAsia="Times New Roman" w:hAnsi="Times New Roman" w:cs="Times New Roman"/>
                <w:sz w:val="24"/>
                <w:szCs w:val="24"/>
                <w:lang w:eastAsia="cs-CZ"/>
              </w:rPr>
            </w:pPr>
            <w:r w:rsidRPr="00AB7B37">
              <w:rPr>
                <w:rFonts w:ascii="Times New Roman" w:eastAsia="Times New Roman" w:hAnsi="Times New Roman" w:cs="Times New Roman"/>
                <w:sz w:val="24"/>
                <w:szCs w:val="24"/>
                <w:lang w:eastAsia="cs-CZ"/>
              </w:rPr>
              <w:t xml:space="preserve">Světelný paprsek přístroje </w:t>
            </w:r>
            <w:proofErr w:type="spellStart"/>
            <w:r w:rsidRPr="00AB7B37">
              <w:rPr>
                <w:rFonts w:ascii="Times New Roman" w:eastAsia="Times New Roman" w:hAnsi="Times New Roman" w:cs="Times New Roman"/>
                <w:sz w:val="24"/>
                <w:szCs w:val="24"/>
                <w:lang w:eastAsia="cs-CZ"/>
              </w:rPr>
              <w:t>Biobeam</w:t>
            </w:r>
            <w:proofErr w:type="spellEnd"/>
            <w:r w:rsidRPr="00AB7B37">
              <w:rPr>
                <w:rFonts w:ascii="Times New Roman" w:eastAsia="Times New Roman" w:hAnsi="Times New Roman" w:cs="Times New Roman"/>
                <w:sz w:val="24"/>
                <w:szCs w:val="24"/>
                <w:lang w:eastAsia="cs-CZ"/>
              </w:rPr>
              <w:t>™ dokáže díky své vlnové délce proniknout hluboko do struktur tkání. Světelná energie postupně proniká tkání, vyvolává významné fotochemické změny, které jsou pro léčbu velmi důležité. Podle účinků je můžeme rozdělit do třech skupin:</w:t>
            </w:r>
          </w:p>
          <w:p w:rsidR="00AB7B37" w:rsidRPr="00AB7B37" w:rsidRDefault="00AB7B37" w:rsidP="00AB7B37">
            <w:pPr>
              <w:spacing w:after="0" w:line="240" w:lineRule="auto"/>
              <w:rPr>
                <w:rFonts w:ascii="Times New Roman" w:eastAsia="Times New Roman" w:hAnsi="Times New Roman" w:cs="Times New Roman"/>
                <w:sz w:val="24"/>
                <w:szCs w:val="24"/>
                <w:lang w:eastAsia="cs-CZ"/>
              </w:rPr>
            </w:pPr>
            <w:r w:rsidRPr="00AB7B37">
              <w:rPr>
                <w:rFonts w:ascii="Times New Roman" w:eastAsia="Times New Roman" w:hAnsi="Times New Roman" w:cs="Times New Roman"/>
                <w:b/>
                <w:bCs/>
                <w:sz w:val="24"/>
                <w:szCs w:val="24"/>
                <w:lang w:eastAsia="cs-CZ"/>
              </w:rPr>
              <w:t>Analgetický účinek</w:t>
            </w:r>
            <w:r w:rsidRPr="00AB7B37">
              <w:rPr>
                <w:rFonts w:ascii="Times New Roman" w:eastAsia="Times New Roman" w:hAnsi="Times New Roman" w:cs="Times New Roman"/>
                <w:sz w:val="24"/>
                <w:szCs w:val="24"/>
                <w:lang w:eastAsia="cs-CZ"/>
              </w:rPr>
              <w:t> – (</w:t>
            </w:r>
            <w:proofErr w:type="gramStart"/>
            <w:r w:rsidRPr="00AB7B37">
              <w:rPr>
                <w:rFonts w:ascii="Times New Roman" w:eastAsia="Times New Roman" w:hAnsi="Times New Roman" w:cs="Times New Roman"/>
                <w:sz w:val="24"/>
                <w:szCs w:val="24"/>
                <w:lang w:eastAsia="cs-CZ"/>
              </w:rPr>
              <w:t>potlačení , snížení</w:t>
            </w:r>
            <w:proofErr w:type="gramEnd"/>
            <w:r w:rsidRPr="00AB7B37">
              <w:rPr>
                <w:rFonts w:ascii="Times New Roman" w:eastAsia="Times New Roman" w:hAnsi="Times New Roman" w:cs="Times New Roman"/>
                <w:sz w:val="24"/>
                <w:szCs w:val="24"/>
                <w:lang w:eastAsia="cs-CZ"/>
              </w:rPr>
              <w:t xml:space="preserve"> bolesti) k tomuto účinku dochází díky přirozenému působení světelné energie na snížení citlivosti nervových buněk v místě průchodu světelného paprsku. Dochází zde také  k vylučování tzv. endogenních opiátů, které jsou společně s přirozenou schopností světelného paprsku likvidovat vlastní chorobný proces, příčinou vysoké efektivity při potlačování bolesti.</w:t>
            </w:r>
          </w:p>
          <w:p w:rsidR="00AB7B37" w:rsidRPr="00AB7B37" w:rsidRDefault="00AB7B37" w:rsidP="00AB7B37">
            <w:pPr>
              <w:spacing w:after="0" w:line="240" w:lineRule="auto"/>
              <w:rPr>
                <w:rFonts w:ascii="Times New Roman" w:eastAsia="Times New Roman" w:hAnsi="Times New Roman" w:cs="Times New Roman"/>
                <w:sz w:val="24"/>
                <w:szCs w:val="24"/>
                <w:lang w:eastAsia="cs-CZ"/>
              </w:rPr>
            </w:pPr>
            <w:r w:rsidRPr="00AB7B37">
              <w:rPr>
                <w:rFonts w:ascii="Times New Roman" w:eastAsia="Times New Roman" w:hAnsi="Times New Roman" w:cs="Times New Roman"/>
                <w:b/>
                <w:bCs/>
                <w:sz w:val="24"/>
                <w:szCs w:val="24"/>
                <w:lang w:eastAsia="cs-CZ"/>
              </w:rPr>
              <w:t>Protizánětlivý účinek</w:t>
            </w:r>
            <w:r w:rsidRPr="00AB7B37">
              <w:rPr>
                <w:rFonts w:ascii="Times New Roman" w:eastAsia="Times New Roman" w:hAnsi="Times New Roman" w:cs="Times New Roman"/>
                <w:sz w:val="24"/>
                <w:szCs w:val="24"/>
                <w:lang w:eastAsia="cs-CZ"/>
              </w:rPr>
              <w:t> – při aplikaci dochází k aktivaci přirozených faktorů podílejících se na likvidaci zánětu. Světelný paprsek podporuje rozšíření cév, tím dochází k lepšímu prokrvení, a lepší látkové výměně a okysličení tkáně. Dochází k umocnění reakce vlastního imunitního systému.</w:t>
            </w:r>
          </w:p>
          <w:p w:rsidR="00AB7B37" w:rsidRPr="00AB7B37" w:rsidRDefault="00AB7B37" w:rsidP="00AB7B37">
            <w:pPr>
              <w:spacing w:after="0" w:line="240" w:lineRule="auto"/>
              <w:rPr>
                <w:rFonts w:ascii="Times New Roman" w:eastAsia="Times New Roman" w:hAnsi="Times New Roman" w:cs="Times New Roman"/>
                <w:sz w:val="24"/>
                <w:szCs w:val="24"/>
                <w:lang w:eastAsia="cs-CZ"/>
              </w:rPr>
            </w:pPr>
            <w:proofErr w:type="spellStart"/>
            <w:r w:rsidRPr="00AB7B37">
              <w:rPr>
                <w:rFonts w:ascii="Times New Roman" w:eastAsia="Times New Roman" w:hAnsi="Times New Roman" w:cs="Times New Roman"/>
                <w:b/>
                <w:bCs/>
                <w:sz w:val="24"/>
                <w:szCs w:val="24"/>
                <w:lang w:eastAsia="cs-CZ"/>
              </w:rPr>
              <w:t>Biostimulační</w:t>
            </w:r>
            <w:proofErr w:type="spellEnd"/>
            <w:r w:rsidRPr="00AB7B37">
              <w:rPr>
                <w:rFonts w:ascii="Times New Roman" w:eastAsia="Times New Roman" w:hAnsi="Times New Roman" w:cs="Times New Roman"/>
                <w:b/>
                <w:bCs/>
                <w:sz w:val="24"/>
                <w:szCs w:val="24"/>
                <w:lang w:eastAsia="cs-CZ"/>
              </w:rPr>
              <w:t xml:space="preserve"> účinek</w:t>
            </w:r>
            <w:r w:rsidRPr="00AB7B37">
              <w:rPr>
                <w:rFonts w:ascii="Times New Roman" w:eastAsia="Times New Roman" w:hAnsi="Times New Roman" w:cs="Times New Roman"/>
                <w:sz w:val="24"/>
                <w:szCs w:val="24"/>
                <w:lang w:eastAsia="cs-CZ"/>
              </w:rPr>
              <w:t xml:space="preserve"> – světelný paprsek vydávaný přístrojem </w:t>
            </w:r>
            <w:proofErr w:type="spellStart"/>
            <w:r w:rsidRPr="00AB7B37">
              <w:rPr>
                <w:rFonts w:ascii="Times New Roman" w:eastAsia="Times New Roman" w:hAnsi="Times New Roman" w:cs="Times New Roman"/>
                <w:sz w:val="24"/>
                <w:szCs w:val="24"/>
                <w:lang w:eastAsia="cs-CZ"/>
              </w:rPr>
              <w:t>Biobeam</w:t>
            </w:r>
            <w:proofErr w:type="spellEnd"/>
            <w:r w:rsidRPr="00AB7B37">
              <w:rPr>
                <w:rFonts w:ascii="Times New Roman" w:eastAsia="Times New Roman" w:hAnsi="Times New Roman" w:cs="Times New Roman"/>
                <w:sz w:val="24"/>
                <w:szCs w:val="24"/>
                <w:lang w:eastAsia="cs-CZ"/>
              </w:rPr>
              <w:t xml:space="preserve">™ výrazně podporuje a urychluje obnovení  buněčného metabolismu a regeneračních procesů. Použití přístroje </w:t>
            </w:r>
            <w:r w:rsidRPr="00AB7B37">
              <w:rPr>
                <w:rFonts w:ascii="Times New Roman" w:eastAsia="Times New Roman" w:hAnsi="Times New Roman" w:cs="Times New Roman"/>
                <w:sz w:val="24"/>
                <w:szCs w:val="24"/>
                <w:lang w:eastAsia="cs-CZ"/>
              </w:rPr>
              <w:lastRenderedPageBreak/>
              <w:t>poskytuje celkový pocit pohody a zdraví a zvyšuje tělesnou odolnost. </w:t>
            </w:r>
            <w:r w:rsidRPr="00AB7B37">
              <w:rPr>
                <w:rFonts w:ascii="Times New Roman" w:eastAsia="Times New Roman" w:hAnsi="Times New Roman" w:cs="Times New Roman"/>
                <w:i/>
                <w:iCs/>
                <w:sz w:val="24"/>
                <w:szCs w:val="24"/>
                <w:lang w:eastAsia="cs-CZ"/>
              </w:rPr>
              <w:t>Působí na odlišných úrovních:</w:t>
            </w:r>
          </w:p>
          <w:p w:rsidR="00AB7B37" w:rsidRPr="00AB7B37" w:rsidRDefault="00AB7B37" w:rsidP="00AB7B37">
            <w:pPr>
              <w:spacing w:after="0" w:line="240" w:lineRule="auto"/>
              <w:rPr>
                <w:rFonts w:ascii="Times New Roman" w:eastAsia="Times New Roman" w:hAnsi="Times New Roman" w:cs="Times New Roman"/>
                <w:sz w:val="24"/>
                <w:szCs w:val="24"/>
                <w:lang w:eastAsia="cs-CZ"/>
              </w:rPr>
            </w:pPr>
            <w:r w:rsidRPr="00AB7B37">
              <w:rPr>
                <w:rFonts w:ascii="Times New Roman" w:eastAsia="Times New Roman" w:hAnsi="Times New Roman" w:cs="Times New Roman"/>
                <w:i/>
                <w:iCs/>
                <w:sz w:val="24"/>
                <w:szCs w:val="24"/>
                <w:lang w:eastAsia="cs-CZ"/>
              </w:rPr>
              <w:t xml:space="preserve">- </w:t>
            </w:r>
            <w:proofErr w:type="spellStart"/>
            <w:r w:rsidRPr="00AB7B37">
              <w:rPr>
                <w:rFonts w:ascii="Times New Roman" w:eastAsia="Times New Roman" w:hAnsi="Times New Roman" w:cs="Times New Roman"/>
                <w:i/>
                <w:iCs/>
                <w:sz w:val="24"/>
                <w:szCs w:val="24"/>
                <w:lang w:eastAsia="cs-CZ"/>
              </w:rPr>
              <w:t>Subbuněčné</w:t>
            </w:r>
            <w:proofErr w:type="spellEnd"/>
            <w:r w:rsidRPr="00AB7B37">
              <w:rPr>
                <w:rFonts w:ascii="Times New Roman" w:eastAsia="Times New Roman" w:hAnsi="Times New Roman" w:cs="Times New Roman"/>
                <w:i/>
                <w:iCs/>
                <w:sz w:val="24"/>
                <w:szCs w:val="24"/>
                <w:lang w:eastAsia="cs-CZ"/>
              </w:rPr>
              <w:t xml:space="preserve"> – </w:t>
            </w:r>
            <w:r w:rsidRPr="00AB7B37">
              <w:rPr>
                <w:rFonts w:ascii="Times New Roman" w:eastAsia="Times New Roman" w:hAnsi="Times New Roman" w:cs="Times New Roman"/>
                <w:sz w:val="24"/>
                <w:szCs w:val="24"/>
                <w:lang w:eastAsia="cs-CZ"/>
              </w:rPr>
              <w:t>urychluje syntézu kolagenu a bílkovin, výměnu kyslíku a tím aktivaci redukčního procesu okysličování</w:t>
            </w:r>
          </w:p>
          <w:p w:rsidR="00AB7B37" w:rsidRPr="00AB7B37" w:rsidRDefault="00AB7B37" w:rsidP="00AB7B37">
            <w:pPr>
              <w:spacing w:after="0" w:line="240" w:lineRule="auto"/>
              <w:rPr>
                <w:rFonts w:ascii="Times New Roman" w:eastAsia="Times New Roman" w:hAnsi="Times New Roman" w:cs="Times New Roman"/>
                <w:sz w:val="24"/>
                <w:szCs w:val="24"/>
                <w:lang w:eastAsia="cs-CZ"/>
              </w:rPr>
            </w:pPr>
            <w:r w:rsidRPr="00AB7B37">
              <w:rPr>
                <w:rFonts w:ascii="Times New Roman" w:eastAsia="Times New Roman" w:hAnsi="Times New Roman" w:cs="Times New Roman"/>
                <w:i/>
                <w:iCs/>
                <w:sz w:val="24"/>
                <w:szCs w:val="24"/>
                <w:lang w:eastAsia="cs-CZ"/>
              </w:rPr>
              <w:t>- Buněčné –</w:t>
            </w:r>
            <w:r w:rsidRPr="00AB7B37">
              <w:rPr>
                <w:rFonts w:ascii="Times New Roman" w:eastAsia="Times New Roman" w:hAnsi="Times New Roman" w:cs="Times New Roman"/>
                <w:sz w:val="24"/>
                <w:szCs w:val="24"/>
                <w:lang w:eastAsia="cs-CZ"/>
              </w:rPr>
              <w:t>  zvyšuje potenciál elektrického pole buněk,  přispívá k znovu oživení tkáně</w:t>
            </w:r>
          </w:p>
          <w:p w:rsidR="00AB7B37" w:rsidRPr="00AB7B37" w:rsidRDefault="00AB7B37" w:rsidP="00AB7B37">
            <w:pPr>
              <w:spacing w:after="0" w:line="240" w:lineRule="auto"/>
              <w:rPr>
                <w:rFonts w:ascii="Times New Roman" w:eastAsia="Times New Roman" w:hAnsi="Times New Roman" w:cs="Times New Roman"/>
                <w:sz w:val="24"/>
                <w:szCs w:val="24"/>
                <w:lang w:eastAsia="cs-CZ"/>
              </w:rPr>
            </w:pPr>
            <w:r w:rsidRPr="00AB7B37">
              <w:rPr>
                <w:rFonts w:ascii="Times New Roman" w:eastAsia="Times New Roman" w:hAnsi="Times New Roman" w:cs="Times New Roman"/>
                <w:sz w:val="24"/>
                <w:szCs w:val="24"/>
                <w:lang w:eastAsia="cs-CZ"/>
              </w:rPr>
              <w:t>-</w:t>
            </w:r>
            <w:r w:rsidRPr="00AB7B37">
              <w:rPr>
                <w:rFonts w:ascii="Times New Roman" w:eastAsia="Times New Roman" w:hAnsi="Times New Roman" w:cs="Times New Roman"/>
                <w:i/>
                <w:iCs/>
                <w:sz w:val="24"/>
                <w:szCs w:val="24"/>
                <w:lang w:eastAsia="cs-CZ"/>
              </w:rPr>
              <w:t> Tkáně –</w:t>
            </w:r>
            <w:r w:rsidRPr="00AB7B37">
              <w:rPr>
                <w:rFonts w:ascii="Times New Roman" w:eastAsia="Times New Roman" w:hAnsi="Times New Roman" w:cs="Times New Roman"/>
                <w:sz w:val="24"/>
                <w:szCs w:val="24"/>
                <w:lang w:eastAsia="cs-CZ"/>
              </w:rPr>
              <w:t> mění hodnotu pH mezibuněčné tekutiny</w:t>
            </w:r>
          </w:p>
          <w:p w:rsidR="00AB7B37" w:rsidRPr="00AB7B37" w:rsidRDefault="00AB7B37" w:rsidP="00AB7B37">
            <w:pPr>
              <w:spacing w:after="0" w:line="240" w:lineRule="auto"/>
              <w:rPr>
                <w:rFonts w:ascii="Times New Roman" w:eastAsia="Times New Roman" w:hAnsi="Times New Roman" w:cs="Times New Roman"/>
                <w:sz w:val="24"/>
                <w:szCs w:val="24"/>
                <w:lang w:eastAsia="cs-CZ"/>
              </w:rPr>
            </w:pPr>
            <w:r w:rsidRPr="00AB7B37">
              <w:rPr>
                <w:rFonts w:ascii="Times New Roman" w:eastAsia="Times New Roman" w:hAnsi="Times New Roman" w:cs="Times New Roman"/>
                <w:i/>
                <w:iCs/>
                <w:sz w:val="24"/>
                <w:szCs w:val="24"/>
                <w:lang w:eastAsia="cs-CZ"/>
              </w:rPr>
              <w:t>- Orgánů –</w:t>
            </w:r>
            <w:r w:rsidRPr="00AB7B37">
              <w:rPr>
                <w:rFonts w:ascii="Times New Roman" w:eastAsia="Times New Roman" w:hAnsi="Times New Roman" w:cs="Times New Roman"/>
                <w:sz w:val="24"/>
                <w:szCs w:val="24"/>
                <w:lang w:eastAsia="cs-CZ"/>
              </w:rPr>
              <w:t> harmonizuje jejich funkci</w:t>
            </w:r>
          </w:p>
          <w:p w:rsidR="00AB7B37" w:rsidRPr="00AB7B37" w:rsidRDefault="00AB7B37" w:rsidP="00AB7B37">
            <w:pPr>
              <w:spacing w:after="0" w:line="240" w:lineRule="auto"/>
              <w:rPr>
                <w:rFonts w:ascii="Times New Roman" w:eastAsia="Times New Roman" w:hAnsi="Times New Roman" w:cs="Times New Roman"/>
                <w:sz w:val="24"/>
                <w:szCs w:val="24"/>
                <w:lang w:eastAsia="cs-CZ"/>
              </w:rPr>
            </w:pPr>
            <w:r w:rsidRPr="00AB7B37">
              <w:rPr>
                <w:rFonts w:ascii="Times New Roman" w:eastAsia="Times New Roman" w:hAnsi="Times New Roman" w:cs="Times New Roman"/>
                <w:i/>
                <w:iCs/>
                <w:sz w:val="24"/>
                <w:szCs w:val="24"/>
                <w:lang w:eastAsia="cs-CZ"/>
              </w:rPr>
              <w:t>- Organismu –</w:t>
            </w:r>
            <w:r w:rsidRPr="00AB7B37">
              <w:rPr>
                <w:rFonts w:ascii="Times New Roman" w:eastAsia="Times New Roman" w:hAnsi="Times New Roman" w:cs="Times New Roman"/>
                <w:sz w:val="24"/>
                <w:szCs w:val="24"/>
                <w:lang w:eastAsia="cs-CZ"/>
              </w:rPr>
              <w:t xml:space="preserve"> vyvolává komplexní adaptivní, </w:t>
            </w:r>
            <w:proofErr w:type="spellStart"/>
            <w:r w:rsidRPr="00AB7B37">
              <w:rPr>
                <w:rFonts w:ascii="Times New Roman" w:eastAsia="Times New Roman" w:hAnsi="Times New Roman" w:cs="Times New Roman"/>
                <w:sz w:val="24"/>
                <w:szCs w:val="24"/>
                <w:lang w:eastAsia="cs-CZ"/>
              </w:rPr>
              <w:t>neuroreflektorické</w:t>
            </w:r>
            <w:proofErr w:type="spellEnd"/>
            <w:r w:rsidRPr="00AB7B37">
              <w:rPr>
                <w:rFonts w:ascii="Times New Roman" w:eastAsia="Times New Roman" w:hAnsi="Times New Roman" w:cs="Times New Roman"/>
                <w:sz w:val="24"/>
                <w:szCs w:val="24"/>
                <w:lang w:eastAsia="cs-CZ"/>
              </w:rPr>
              <w:t xml:space="preserve"> a </w:t>
            </w:r>
            <w:proofErr w:type="spellStart"/>
            <w:r w:rsidRPr="00AB7B37">
              <w:rPr>
                <w:rFonts w:ascii="Times New Roman" w:eastAsia="Times New Roman" w:hAnsi="Times New Roman" w:cs="Times New Roman"/>
                <w:sz w:val="24"/>
                <w:szCs w:val="24"/>
                <w:lang w:eastAsia="cs-CZ"/>
              </w:rPr>
              <w:t>neurohumorální</w:t>
            </w:r>
            <w:proofErr w:type="spellEnd"/>
            <w:r w:rsidRPr="00AB7B37">
              <w:rPr>
                <w:rFonts w:ascii="Times New Roman" w:eastAsia="Times New Roman" w:hAnsi="Times New Roman" w:cs="Times New Roman"/>
                <w:sz w:val="24"/>
                <w:szCs w:val="24"/>
                <w:lang w:eastAsia="cs-CZ"/>
              </w:rPr>
              <w:t xml:space="preserve"> reakce, které vedou ke zlepšení zdravotního stavu,  tělesné a tím psychické pohody</w:t>
            </w:r>
          </w:p>
          <w:p w:rsidR="00AB7B37" w:rsidRPr="00AB7B37" w:rsidRDefault="00AB7B37" w:rsidP="00AB7B37">
            <w:pPr>
              <w:spacing w:before="120" w:after="120" w:line="240" w:lineRule="auto"/>
              <w:rPr>
                <w:rFonts w:ascii="Times New Roman" w:eastAsia="Times New Roman" w:hAnsi="Times New Roman" w:cs="Times New Roman"/>
                <w:sz w:val="24"/>
                <w:szCs w:val="24"/>
                <w:lang w:eastAsia="cs-CZ"/>
              </w:rPr>
            </w:pPr>
            <w:r w:rsidRPr="00AB7B37">
              <w:rPr>
                <w:rFonts w:ascii="Times New Roman" w:eastAsia="Times New Roman" w:hAnsi="Times New Roman" w:cs="Times New Roman"/>
                <w:sz w:val="24"/>
                <w:szCs w:val="24"/>
                <w:lang w:eastAsia="cs-CZ"/>
              </w:rPr>
              <w:t> </w:t>
            </w:r>
          </w:p>
          <w:p w:rsidR="00AB7B37" w:rsidRPr="00AB7B37" w:rsidRDefault="00AB7B37" w:rsidP="00AB7B37">
            <w:pPr>
              <w:spacing w:before="120" w:after="12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4788535" cy="3185795"/>
                  <wp:effectExtent l="19050" t="0" r="0" b="0"/>
                  <wp:docPr id="4" name="obrázek 4" descr="BioB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oBeam™"/>
                          <pic:cNvPicPr>
                            <a:picLocks noChangeAspect="1" noChangeArrowheads="1"/>
                          </pic:cNvPicPr>
                        </pic:nvPicPr>
                        <pic:blipFill>
                          <a:blip r:embed="rId10"/>
                          <a:srcRect/>
                          <a:stretch>
                            <a:fillRect/>
                          </a:stretch>
                        </pic:blipFill>
                        <pic:spPr bwMode="auto">
                          <a:xfrm>
                            <a:off x="0" y="0"/>
                            <a:ext cx="4788535" cy="3185795"/>
                          </a:xfrm>
                          <a:prstGeom prst="rect">
                            <a:avLst/>
                          </a:prstGeom>
                          <a:noFill/>
                          <a:ln w="9525">
                            <a:noFill/>
                            <a:miter lim="800000"/>
                            <a:headEnd/>
                            <a:tailEnd/>
                          </a:ln>
                        </pic:spPr>
                      </pic:pic>
                    </a:graphicData>
                  </a:graphic>
                </wp:inline>
              </w:drawing>
            </w:r>
          </w:p>
          <w:p w:rsidR="00AB7B37" w:rsidRPr="00AB7B37" w:rsidRDefault="00AB7B37" w:rsidP="00AB7B37">
            <w:pPr>
              <w:spacing w:after="0" w:line="240" w:lineRule="auto"/>
              <w:rPr>
                <w:rFonts w:ascii="Times New Roman" w:eastAsia="Times New Roman" w:hAnsi="Times New Roman" w:cs="Times New Roman"/>
                <w:sz w:val="24"/>
                <w:szCs w:val="24"/>
                <w:lang w:eastAsia="cs-CZ"/>
              </w:rPr>
            </w:pPr>
            <w:r w:rsidRPr="00AB7B37">
              <w:rPr>
                <w:rFonts w:ascii="Times New Roman" w:eastAsia="Times New Roman" w:hAnsi="Times New Roman" w:cs="Times New Roman"/>
                <w:sz w:val="24"/>
                <w:szCs w:val="24"/>
                <w:lang w:eastAsia="cs-CZ"/>
              </w:rPr>
              <w:br/>
            </w:r>
            <w:r w:rsidRPr="00AB7B37">
              <w:rPr>
                <w:rFonts w:ascii="Times New Roman" w:eastAsia="Times New Roman" w:hAnsi="Times New Roman" w:cs="Times New Roman"/>
                <w:color w:val="57861A"/>
                <w:sz w:val="24"/>
                <w:szCs w:val="24"/>
                <w:lang w:eastAsia="cs-CZ"/>
              </w:rPr>
              <w:t xml:space="preserve">Využití účinků světelného paprsku </w:t>
            </w:r>
            <w:proofErr w:type="spellStart"/>
            <w:r w:rsidRPr="00AB7B37">
              <w:rPr>
                <w:rFonts w:ascii="Times New Roman" w:eastAsia="Times New Roman" w:hAnsi="Times New Roman" w:cs="Times New Roman"/>
                <w:color w:val="57861A"/>
                <w:sz w:val="24"/>
                <w:szCs w:val="24"/>
                <w:lang w:eastAsia="cs-CZ"/>
              </w:rPr>
              <w:t>Biobeam</w:t>
            </w:r>
            <w:proofErr w:type="spellEnd"/>
            <w:r w:rsidRPr="00AB7B37">
              <w:rPr>
                <w:rFonts w:ascii="Times New Roman" w:eastAsia="Times New Roman" w:hAnsi="Times New Roman" w:cs="Times New Roman"/>
                <w:color w:val="57861A"/>
                <w:sz w:val="24"/>
                <w:szCs w:val="24"/>
                <w:lang w:eastAsia="cs-CZ"/>
              </w:rPr>
              <w:t xml:space="preserve">™ 660, 940, </w:t>
            </w:r>
            <w:proofErr w:type="spellStart"/>
            <w:r w:rsidRPr="00AB7B37">
              <w:rPr>
                <w:rFonts w:ascii="Times New Roman" w:eastAsia="Times New Roman" w:hAnsi="Times New Roman" w:cs="Times New Roman"/>
                <w:color w:val="57861A"/>
                <w:sz w:val="24"/>
                <w:szCs w:val="24"/>
                <w:lang w:eastAsia="cs-CZ"/>
              </w:rPr>
              <w:t>Acne</w:t>
            </w:r>
            <w:proofErr w:type="spellEnd"/>
            <w:r w:rsidRPr="00AB7B37">
              <w:rPr>
                <w:rFonts w:ascii="Times New Roman" w:eastAsia="Times New Roman" w:hAnsi="Times New Roman" w:cs="Times New Roman"/>
                <w:color w:val="57861A"/>
                <w:sz w:val="24"/>
                <w:szCs w:val="24"/>
                <w:lang w:eastAsia="cs-CZ"/>
              </w:rPr>
              <w:t xml:space="preserve">, </w:t>
            </w:r>
            <w:proofErr w:type="spellStart"/>
            <w:r w:rsidRPr="00AB7B37">
              <w:rPr>
                <w:rFonts w:ascii="Times New Roman" w:eastAsia="Times New Roman" w:hAnsi="Times New Roman" w:cs="Times New Roman"/>
                <w:color w:val="57861A"/>
                <w:sz w:val="24"/>
                <w:szCs w:val="24"/>
                <w:lang w:eastAsia="cs-CZ"/>
              </w:rPr>
              <w:t>BioNase</w:t>
            </w:r>
            <w:proofErr w:type="spellEnd"/>
            <w:r w:rsidRPr="00AB7B37">
              <w:rPr>
                <w:rFonts w:ascii="Times New Roman" w:eastAsia="Times New Roman" w:hAnsi="Times New Roman" w:cs="Times New Roman"/>
                <w:color w:val="57861A"/>
                <w:sz w:val="24"/>
                <w:szCs w:val="24"/>
                <w:lang w:eastAsia="cs-CZ"/>
              </w:rPr>
              <w:t xml:space="preserve">, </w:t>
            </w:r>
            <w:proofErr w:type="spellStart"/>
            <w:r w:rsidRPr="00AB7B37">
              <w:rPr>
                <w:rFonts w:ascii="Times New Roman" w:eastAsia="Times New Roman" w:hAnsi="Times New Roman" w:cs="Times New Roman"/>
                <w:color w:val="57861A"/>
                <w:sz w:val="24"/>
                <w:szCs w:val="24"/>
                <w:lang w:eastAsia="cs-CZ"/>
              </w:rPr>
              <w:t>BioOral</w:t>
            </w:r>
            <w:proofErr w:type="spellEnd"/>
            <w:r w:rsidRPr="00AB7B37">
              <w:rPr>
                <w:rFonts w:ascii="Times New Roman" w:eastAsia="Times New Roman" w:hAnsi="Times New Roman" w:cs="Times New Roman"/>
                <w:color w:val="57861A"/>
                <w:sz w:val="24"/>
                <w:szCs w:val="24"/>
                <w:lang w:eastAsia="cs-CZ"/>
              </w:rPr>
              <w:t>:</w:t>
            </w:r>
          </w:p>
          <w:p w:rsidR="00AB7B37" w:rsidRPr="00AB7B37" w:rsidRDefault="00AB7B37" w:rsidP="00AB7B37">
            <w:pPr>
              <w:numPr>
                <w:ilvl w:val="0"/>
                <w:numId w:val="1"/>
              </w:numPr>
              <w:spacing w:after="0" w:line="240" w:lineRule="auto"/>
              <w:ind w:left="232" w:right="155"/>
              <w:rPr>
                <w:rFonts w:ascii="Times New Roman" w:eastAsia="Times New Roman" w:hAnsi="Times New Roman" w:cs="Times New Roman"/>
                <w:lang w:eastAsia="cs-CZ"/>
              </w:rPr>
            </w:pPr>
            <w:r w:rsidRPr="00AB7B37">
              <w:rPr>
                <w:rFonts w:ascii="Times New Roman" w:eastAsia="Times New Roman" w:hAnsi="Times New Roman" w:cs="Times New Roman"/>
                <w:sz w:val="20"/>
                <w:szCs w:val="20"/>
                <w:lang w:eastAsia="cs-CZ"/>
              </w:rPr>
              <w:t>Alergologie</w:t>
            </w:r>
          </w:p>
          <w:p w:rsidR="00AB7B37" w:rsidRPr="00AB7B37" w:rsidRDefault="00AB7B37" w:rsidP="00AB7B37">
            <w:pPr>
              <w:numPr>
                <w:ilvl w:val="0"/>
                <w:numId w:val="1"/>
              </w:numPr>
              <w:spacing w:after="0" w:line="240" w:lineRule="auto"/>
              <w:ind w:left="232" w:right="155"/>
              <w:rPr>
                <w:rFonts w:ascii="Times New Roman" w:eastAsia="Times New Roman" w:hAnsi="Times New Roman" w:cs="Times New Roman"/>
                <w:lang w:eastAsia="cs-CZ"/>
              </w:rPr>
            </w:pPr>
            <w:proofErr w:type="spellStart"/>
            <w:r w:rsidRPr="00AB7B37">
              <w:rPr>
                <w:rFonts w:ascii="Times New Roman" w:eastAsia="Times New Roman" w:hAnsi="Times New Roman" w:cs="Times New Roman"/>
                <w:sz w:val="20"/>
                <w:szCs w:val="20"/>
                <w:lang w:eastAsia="cs-CZ"/>
              </w:rPr>
              <w:t>Dermatovenerologie</w:t>
            </w:r>
            <w:proofErr w:type="spellEnd"/>
          </w:p>
          <w:p w:rsidR="00AB7B37" w:rsidRPr="00AB7B37" w:rsidRDefault="00AB7B37" w:rsidP="00AB7B37">
            <w:pPr>
              <w:numPr>
                <w:ilvl w:val="0"/>
                <w:numId w:val="1"/>
              </w:numPr>
              <w:spacing w:after="0" w:line="240" w:lineRule="auto"/>
              <w:ind w:left="232" w:right="155"/>
              <w:rPr>
                <w:rFonts w:ascii="Times New Roman" w:eastAsia="Times New Roman" w:hAnsi="Times New Roman" w:cs="Times New Roman"/>
                <w:lang w:eastAsia="cs-CZ"/>
              </w:rPr>
            </w:pPr>
            <w:r w:rsidRPr="00AB7B37">
              <w:rPr>
                <w:rFonts w:ascii="Times New Roman" w:eastAsia="Times New Roman" w:hAnsi="Times New Roman" w:cs="Times New Roman"/>
                <w:sz w:val="20"/>
                <w:szCs w:val="20"/>
                <w:lang w:eastAsia="cs-CZ"/>
              </w:rPr>
              <w:t>Dětské lékařství</w:t>
            </w:r>
          </w:p>
          <w:p w:rsidR="00AB7B37" w:rsidRPr="00AB7B37" w:rsidRDefault="00AB7B37" w:rsidP="00AB7B37">
            <w:pPr>
              <w:numPr>
                <w:ilvl w:val="0"/>
                <w:numId w:val="1"/>
              </w:numPr>
              <w:spacing w:after="0" w:line="240" w:lineRule="auto"/>
              <w:ind w:left="232" w:right="155"/>
              <w:rPr>
                <w:rFonts w:ascii="Times New Roman" w:eastAsia="Times New Roman" w:hAnsi="Times New Roman" w:cs="Times New Roman"/>
                <w:lang w:eastAsia="cs-CZ"/>
              </w:rPr>
            </w:pPr>
            <w:r w:rsidRPr="00AB7B37">
              <w:rPr>
                <w:rFonts w:ascii="Times New Roman" w:eastAsia="Times New Roman" w:hAnsi="Times New Roman" w:cs="Times New Roman"/>
                <w:sz w:val="20"/>
                <w:szCs w:val="20"/>
                <w:lang w:eastAsia="cs-CZ"/>
              </w:rPr>
              <w:t>Interna</w:t>
            </w:r>
          </w:p>
          <w:p w:rsidR="00AB7B37" w:rsidRPr="00AB7B37" w:rsidRDefault="00AB7B37" w:rsidP="00AB7B37">
            <w:pPr>
              <w:numPr>
                <w:ilvl w:val="0"/>
                <w:numId w:val="1"/>
              </w:numPr>
              <w:spacing w:after="0" w:line="240" w:lineRule="auto"/>
              <w:ind w:left="232" w:right="155"/>
              <w:rPr>
                <w:rFonts w:ascii="Times New Roman" w:eastAsia="Times New Roman" w:hAnsi="Times New Roman" w:cs="Times New Roman"/>
                <w:lang w:eastAsia="cs-CZ"/>
              </w:rPr>
            </w:pPr>
            <w:r w:rsidRPr="00AB7B37">
              <w:rPr>
                <w:rFonts w:ascii="Times New Roman" w:eastAsia="Times New Roman" w:hAnsi="Times New Roman" w:cs="Times New Roman"/>
                <w:sz w:val="20"/>
                <w:szCs w:val="20"/>
                <w:lang w:eastAsia="cs-CZ"/>
              </w:rPr>
              <w:t>Kosmetika</w:t>
            </w:r>
          </w:p>
          <w:p w:rsidR="00AB7B37" w:rsidRPr="00AB7B37" w:rsidRDefault="00AB7B37" w:rsidP="00AB7B37">
            <w:pPr>
              <w:numPr>
                <w:ilvl w:val="0"/>
                <w:numId w:val="1"/>
              </w:numPr>
              <w:spacing w:after="0" w:line="240" w:lineRule="auto"/>
              <w:ind w:left="232" w:right="155"/>
              <w:rPr>
                <w:rFonts w:ascii="Times New Roman" w:eastAsia="Times New Roman" w:hAnsi="Times New Roman" w:cs="Times New Roman"/>
                <w:lang w:eastAsia="cs-CZ"/>
              </w:rPr>
            </w:pPr>
            <w:r w:rsidRPr="00AB7B37">
              <w:rPr>
                <w:rFonts w:ascii="Times New Roman" w:eastAsia="Times New Roman" w:hAnsi="Times New Roman" w:cs="Times New Roman"/>
                <w:sz w:val="20"/>
                <w:szCs w:val="20"/>
                <w:lang w:eastAsia="cs-CZ"/>
              </w:rPr>
              <w:t>Kožní lékařství</w:t>
            </w:r>
          </w:p>
          <w:p w:rsidR="00AB7B37" w:rsidRPr="00AB7B37" w:rsidRDefault="00AB7B37" w:rsidP="00AB7B37">
            <w:pPr>
              <w:numPr>
                <w:ilvl w:val="0"/>
                <w:numId w:val="1"/>
              </w:numPr>
              <w:spacing w:after="0" w:line="240" w:lineRule="auto"/>
              <w:ind w:left="232" w:right="155"/>
              <w:rPr>
                <w:rFonts w:ascii="Times New Roman" w:eastAsia="Times New Roman" w:hAnsi="Times New Roman" w:cs="Times New Roman"/>
                <w:lang w:eastAsia="cs-CZ"/>
              </w:rPr>
            </w:pPr>
            <w:r w:rsidRPr="00AB7B37">
              <w:rPr>
                <w:rFonts w:ascii="Times New Roman" w:eastAsia="Times New Roman" w:hAnsi="Times New Roman" w:cs="Times New Roman"/>
                <w:sz w:val="20"/>
                <w:szCs w:val="20"/>
                <w:lang w:eastAsia="cs-CZ"/>
              </w:rPr>
              <w:t>Neurologie</w:t>
            </w:r>
          </w:p>
          <w:p w:rsidR="00AB7B37" w:rsidRPr="00AB7B37" w:rsidRDefault="00AB7B37" w:rsidP="00AB7B37">
            <w:pPr>
              <w:numPr>
                <w:ilvl w:val="0"/>
                <w:numId w:val="1"/>
              </w:numPr>
              <w:spacing w:after="0" w:line="240" w:lineRule="auto"/>
              <w:ind w:left="232" w:right="155"/>
              <w:rPr>
                <w:rFonts w:ascii="Times New Roman" w:eastAsia="Times New Roman" w:hAnsi="Times New Roman" w:cs="Times New Roman"/>
                <w:lang w:eastAsia="cs-CZ"/>
              </w:rPr>
            </w:pPr>
            <w:proofErr w:type="gramStart"/>
            <w:r w:rsidRPr="00AB7B37">
              <w:rPr>
                <w:rFonts w:ascii="Times New Roman" w:eastAsia="Times New Roman" w:hAnsi="Times New Roman" w:cs="Times New Roman"/>
                <w:sz w:val="20"/>
                <w:szCs w:val="20"/>
                <w:lang w:eastAsia="cs-CZ"/>
              </w:rPr>
              <w:t>ORL</w:t>
            </w:r>
            <w:proofErr w:type="gramEnd"/>
            <w:r w:rsidRPr="00AB7B37">
              <w:rPr>
                <w:rFonts w:ascii="Times New Roman" w:eastAsia="Times New Roman" w:hAnsi="Times New Roman" w:cs="Times New Roman"/>
                <w:sz w:val="20"/>
                <w:szCs w:val="20"/>
                <w:lang w:eastAsia="cs-CZ"/>
              </w:rPr>
              <w:t xml:space="preserve"> ( </w:t>
            </w:r>
            <w:proofErr w:type="gramStart"/>
            <w:r w:rsidRPr="00AB7B37">
              <w:rPr>
                <w:rFonts w:ascii="Times New Roman" w:eastAsia="Times New Roman" w:hAnsi="Times New Roman" w:cs="Times New Roman"/>
                <w:sz w:val="20"/>
                <w:szCs w:val="20"/>
                <w:lang w:eastAsia="cs-CZ"/>
              </w:rPr>
              <w:t>ušní</w:t>
            </w:r>
            <w:proofErr w:type="gramEnd"/>
            <w:r w:rsidRPr="00AB7B37">
              <w:rPr>
                <w:rFonts w:ascii="Times New Roman" w:eastAsia="Times New Roman" w:hAnsi="Times New Roman" w:cs="Times New Roman"/>
                <w:sz w:val="20"/>
                <w:szCs w:val="20"/>
                <w:lang w:eastAsia="cs-CZ"/>
              </w:rPr>
              <w:t>,nosní,krční)</w:t>
            </w:r>
          </w:p>
          <w:p w:rsidR="00AB7B37" w:rsidRPr="00AB7B37" w:rsidRDefault="00AB7B37" w:rsidP="00AB7B37">
            <w:pPr>
              <w:numPr>
                <w:ilvl w:val="0"/>
                <w:numId w:val="1"/>
              </w:numPr>
              <w:spacing w:after="0" w:line="240" w:lineRule="auto"/>
              <w:ind w:left="232" w:right="155"/>
              <w:rPr>
                <w:rFonts w:ascii="Times New Roman" w:eastAsia="Times New Roman" w:hAnsi="Times New Roman" w:cs="Times New Roman"/>
                <w:lang w:eastAsia="cs-CZ"/>
              </w:rPr>
            </w:pPr>
            <w:r w:rsidRPr="00AB7B37">
              <w:rPr>
                <w:rFonts w:ascii="Times New Roman" w:eastAsia="Times New Roman" w:hAnsi="Times New Roman" w:cs="Times New Roman"/>
                <w:sz w:val="20"/>
                <w:szCs w:val="20"/>
                <w:lang w:eastAsia="cs-CZ"/>
              </w:rPr>
              <w:t>Ortopedie</w:t>
            </w:r>
          </w:p>
          <w:p w:rsidR="00AB7B37" w:rsidRPr="00AB7B37" w:rsidRDefault="00AB7B37" w:rsidP="00AB7B37">
            <w:pPr>
              <w:numPr>
                <w:ilvl w:val="0"/>
                <w:numId w:val="1"/>
              </w:numPr>
              <w:spacing w:after="0" w:line="240" w:lineRule="auto"/>
              <w:ind w:left="232" w:right="155"/>
              <w:rPr>
                <w:rFonts w:ascii="Times New Roman" w:eastAsia="Times New Roman" w:hAnsi="Times New Roman" w:cs="Times New Roman"/>
                <w:lang w:eastAsia="cs-CZ"/>
              </w:rPr>
            </w:pPr>
            <w:r w:rsidRPr="00AB7B37">
              <w:rPr>
                <w:rFonts w:ascii="Times New Roman" w:eastAsia="Times New Roman" w:hAnsi="Times New Roman" w:cs="Times New Roman"/>
                <w:sz w:val="20"/>
                <w:szCs w:val="20"/>
                <w:lang w:eastAsia="cs-CZ"/>
              </w:rPr>
              <w:t>Plastická chirurgie</w:t>
            </w:r>
          </w:p>
          <w:p w:rsidR="00AB7B37" w:rsidRPr="00AB7B37" w:rsidRDefault="00AB7B37" w:rsidP="00AB7B37">
            <w:pPr>
              <w:numPr>
                <w:ilvl w:val="0"/>
                <w:numId w:val="1"/>
              </w:numPr>
              <w:spacing w:after="0" w:line="240" w:lineRule="auto"/>
              <w:ind w:left="232" w:right="155"/>
              <w:rPr>
                <w:rFonts w:ascii="Times New Roman" w:eastAsia="Times New Roman" w:hAnsi="Times New Roman" w:cs="Times New Roman"/>
                <w:lang w:eastAsia="cs-CZ"/>
              </w:rPr>
            </w:pPr>
            <w:r w:rsidRPr="00AB7B37">
              <w:rPr>
                <w:rFonts w:ascii="Times New Roman" w:eastAsia="Times New Roman" w:hAnsi="Times New Roman" w:cs="Times New Roman"/>
                <w:sz w:val="20"/>
                <w:szCs w:val="20"/>
                <w:lang w:eastAsia="cs-CZ"/>
              </w:rPr>
              <w:t>Praktické lékařství</w:t>
            </w:r>
          </w:p>
          <w:p w:rsidR="00AB7B37" w:rsidRPr="00AB7B37" w:rsidRDefault="00AB7B37" w:rsidP="00AB7B37">
            <w:pPr>
              <w:numPr>
                <w:ilvl w:val="0"/>
                <w:numId w:val="1"/>
              </w:numPr>
              <w:spacing w:after="0" w:line="240" w:lineRule="auto"/>
              <w:ind w:left="232" w:right="155"/>
              <w:rPr>
                <w:rFonts w:ascii="Times New Roman" w:eastAsia="Times New Roman" w:hAnsi="Times New Roman" w:cs="Times New Roman"/>
                <w:lang w:eastAsia="cs-CZ"/>
              </w:rPr>
            </w:pPr>
            <w:r w:rsidRPr="00AB7B37">
              <w:rPr>
                <w:rFonts w:ascii="Times New Roman" w:eastAsia="Times New Roman" w:hAnsi="Times New Roman" w:cs="Times New Roman"/>
                <w:sz w:val="20"/>
                <w:szCs w:val="20"/>
                <w:lang w:eastAsia="cs-CZ"/>
              </w:rPr>
              <w:t>Rehabilitace</w:t>
            </w:r>
          </w:p>
          <w:p w:rsidR="00AB7B37" w:rsidRPr="00AB7B37" w:rsidRDefault="00AB7B37" w:rsidP="00AB7B37">
            <w:pPr>
              <w:numPr>
                <w:ilvl w:val="0"/>
                <w:numId w:val="1"/>
              </w:numPr>
              <w:spacing w:after="0" w:line="240" w:lineRule="auto"/>
              <w:ind w:left="232" w:right="155"/>
              <w:rPr>
                <w:rFonts w:ascii="Times New Roman" w:eastAsia="Times New Roman" w:hAnsi="Times New Roman" w:cs="Times New Roman"/>
                <w:lang w:eastAsia="cs-CZ"/>
              </w:rPr>
            </w:pPr>
            <w:r w:rsidRPr="00AB7B37">
              <w:rPr>
                <w:rFonts w:ascii="Times New Roman" w:eastAsia="Times New Roman" w:hAnsi="Times New Roman" w:cs="Times New Roman"/>
                <w:sz w:val="20"/>
                <w:szCs w:val="20"/>
                <w:lang w:eastAsia="cs-CZ"/>
              </w:rPr>
              <w:t>Revmatologie</w:t>
            </w:r>
          </w:p>
          <w:p w:rsidR="00AB7B37" w:rsidRPr="00AB7B37" w:rsidRDefault="00AB7B37" w:rsidP="00AB7B37">
            <w:pPr>
              <w:numPr>
                <w:ilvl w:val="0"/>
                <w:numId w:val="1"/>
              </w:numPr>
              <w:spacing w:after="0" w:line="240" w:lineRule="auto"/>
              <w:ind w:left="232" w:right="155"/>
              <w:rPr>
                <w:rFonts w:ascii="Times New Roman" w:eastAsia="Times New Roman" w:hAnsi="Times New Roman" w:cs="Times New Roman"/>
                <w:lang w:eastAsia="cs-CZ"/>
              </w:rPr>
            </w:pPr>
            <w:r w:rsidRPr="00AB7B37">
              <w:rPr>
                <w:rFonts w:ascii="Times New Roman" w:eastAsia="Times New Roman" w:hAnsi="Times New Roman" w:cs="Times New Roman"/>
                <w:sz w:val="20"/>
                <w:szCs w:val="20"/>
                <w:lang w:eastAsia="cs-CZ"/>
              </w:rPr>
              <w:t>Sportovní medicína</w:t>
            </w:r>
          </w:p>
          <w:p w:rsidR="00AB7B37" w:rsidRPr="00AB7B37" w:rsidRDefault="00AB7B37" w:rsidP="00AB7B37">
            <w:pPr>
              <w:numPr>
                <w:ilvl w:val="0"/>
                <w:numId w:val="1"/>
              </w:numPr>
              <w:spacing w:after="0" w:line="240" w:lineRule="auto"/>
              <w:ind w:left="232" w:right="155"/>
              <w:rPr>
                <w:rFonts w:ascii="Times New Roman" w:eastAsia="Times New Roman" w:hAnsi="Times New Roman" w:cs="Times New Roman"/>
                <w:lang w:eastAsia="cs-CZ"/>
              </w:rPr>
            </w:pPr>
            <w:r w:rsidRPr="00AB7B37">
              <w:rPr>
                <w:rFonts w:ascii="Times New Roman" w:eastAsia="Times New Roman" w:hAnsi="Times New Roman" w:cs="Times New Roman"/>
                <w:sz w:val="20"/>
                <w:szCs w:val="20"/>
                <w:lang w:eastAsia="cs-CZ"/>
              </w:rPr>
              <w:t>Stomatologie</w:t>
            </w:r>
          </w:p>
          <w:p w:rsidR="00AB7B37" w:rsidRPr="00AB7B37" w:rsidRDefault="00AB7B37" w:rsidP="00AB7B37">
            <w:pPr>
              <w:numPr>
                <w:ilvl w:val="0"/>
                <w:numId w:val="1"/>
              </w:numPr>
              <w:spacing w:after="0" w:line="240" w:lineRule="auto"/>
              <w:ind w:left="232" w:right="155"/>
              <w:rPr>
                <w:rFonts w:ascii="Times New Roman" w:eastAsia="Times New Roman" w:hAnsi="Times New Roman" w:cs="Times New Roman"/>
                <w:lang w:eastAsia="cs-CZ"/>
              </w:rPr>
            </w:pPr>
            <w:proofErr w:type="spellStart"/>
            <w:r w:rsidRPr="00AB7B37">
              <w:rPr>
                <w:rFonts w:ascii="Times New Roman" w:eastAsia="Times New Roman" w:hAnsi="Times New Roman" w:cs="Times New Roman"/>
                <w:sz w:val="20"/>
                <w:szCs w:val="20"/>
                <w:lang w:eastAsia="cs-CZ"/>
              </w:rPr>
              <w:t>Veterina</w:t>
            </w:r>
            <w:proofErr w:type="spellEnd"/>
          </w:p>
        </w:tc>
      </w:tr>
    </w:tbl>
    <w:p w:rsidR="00C77FD1" w:rsidRDefault="00C77FD1"/>
    <w:sectPr w:rsidR="00C77FD1" w:rsidSect="00C77F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55D16"/>
    <w:multiLevelType w:val="multilevel"/>
    <w:tmpl w:val="23E4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AB7B37"/>
    <w:rsid w:val="00AB7B37"/>
    <w:rsid w:val="00C77FD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7FD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style-span">
    <w:name w:val="apple-style-span"/>
    <w:basedOn w:val="Standardnpsmoodstavce"/>
    <w:rsid w:val="00AB7B37"/>
  </w:style>
  <w:style w:type="paragraph" w:styleId="Normlnweb">
    <w:name w:val="Normal (Web)"/>
    <w:basedOn w:val="Normln"/>
    <w:uiPriority w:val="99"/>
    <w:semiHidden/>
    <w:unhideWhenUsed/>
    <w:rsid w:val="00AB7B3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B7B37"/>
    <w:rPr>
      <w:b/>
      <w:bCs/>
    </w:rPr>
  </w:style>
  <w:style w:type="character" w:customStyle="1" w:styleId="apple-converted-space">
    <w:name w:val="apple-converted-space"/>
    <w:basedOn w:val="Standardnpsmoodstavce"/>
    <w:rsid w:val="00AB7B37"/>
  </w:style>
  <w:style w:type="character" w:styleId="Zvraznn">
    <w:name w:val="Emphasis"/>
    <w:basedOn w:val="Standardnpsmoodstavce"/>
    <w:uiPriority w:val="20"/>
    <w:qFormat/>
    <w:rsid w:val="00AB7B37"/>
    <w:rPr>
      <w:i/>
      <w:iCs/>
    </w:rPr>
  </w:style>
  <w:style w:type="character" w:customStyle="1" w:styleId="download">
    <w:name w:val="download"/>
    <w:basedOn w:val="Standardnpsmoodstavce"/>
    <w:rsid w:val="00AB7B37"/>
  </w:style>
  <w:style w:type="paragraph" w:styleId="Textbubliny">
    <w:name w:val="Balloon Text"/>
    <w:basedOn w:val="Normln"/>
    <w:link w:val="TextbublinyChar"/>
    <w:uiPriority w:val="99"/>
    <w:semiHidden/>
    <w:unhideWhenUsed/>
    <w:rsid w:val="00AB7B3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7B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895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biobeam.cz/index2.php?option=com_content&amp;task=emailform&amp;id=129&amp;itemid=2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biobeam.cz/index2.php?option=com_content&amp;task=view&amp;id=129&amp;pop=1&amp;page=0&amp;Itemid=207"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1991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dc:creator>
  <cp:keywords/>
  <dc:description/>
  <cp:lastModifiedBy>petr</cp:lastModifiedBy>
  <cp:revision>1</cp:revision>
  <dcterms:created xsi:type="dcterms:W3CDTF">2010-01-07T19:32:00Z</dcterms:created>
  <dcterms:modified xsi:type="dcterms:W3CDTF">2010-01-07T19:33:00Z</dcterms:modified>
</cp:coreProperties>
</file>